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6085" w14:textId="5890F907" w:rsidR="000B7971" w:rsidRPr="000B7971" w:rsidRDefault="000B7971" w:rsidP="000B7971">
      <w:pPr>
        <w:spacing w:after="0" w:line="168" w:lineRule="auto"/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8DBB3EA" wp14:editId="4CAE6DE4">
            <wp:simplePos x="0" y="0"/>
            <wp:positionH relativeFrom="page">
              <wp:align>right</wp:align>
            </wp:positionH>
            <wp:positionV relativeFrom="paragraph">
              <wp:posOffset>-923925</wp:posOffset>
            </wp:positionV>
            <wp:extent cx="7566964" cy="10703592"/>
            <wp:effectExtent l="0" t="0" r="0" b="2540"/>
            <wp:wrapNone/>
            <wp:docPr id="36" name="Image 36" descr="Une image contenant capture d’écran, Bleu électrique, bleu, Bleu cobal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 descr="Une image contenant capture d’écran, Bleu électrique, bleu, Bleu cobalt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6964" cy="10703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bCs/>
          <w:color w:val="0058A5"/>
          <w:kern w:val="0"/>
          <w:sz w:val="100"/>
          <w:szCs w:val="100"/>
          <w14:ligatures w14:val="none"/>
        </w:rPr>
        <w:t xml:space="preserve">Cadre de réponse du mémoire technique </w:t>
      </w:r>
    </w:p>
    <w:p w14:paraId="3BD99D84" w14:textId="014FDAB9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b/>
          <w:bCs/>
          <w:color w:val="4D4D4D"/>
          <w:kern w:val="0"/>
          <w:sz w:val="48"/>
          <w:szCs w:val="48"/>
          <w:lang w:eastAsia="fr-FR"/>
          <w14:ligatures w14:val="none"/>
        </w:rPr>
      </w:pPr>
    </w:p>
    <w:p w14:paraId="534A1EA8" w14:textId="77777777" w:rsidR="006216D4" w:rsidRDefault="006216D4" w:rsidP="00A81EAA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bookmarkStart w:id="0" w:name="_Hlk164861528"/>
      <w:r w:rsidRPr="006216D4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ACCORDS-CADRES FOURNITURE DE MOBILIERS DE BUREAU ET D’EQUIPEMENTS DIVERS ASSOCIES</w:t>
      </w:r>
    </w:p>
    <w:p w14:paraId="131A7C0D" w14:textId="6AEE2B57" w:rsidR="00A81EAA" w:rsidRDefault="006216D4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</w:pPr>
      <w:r w:rsidRPr="006216D4">
        <w:rPr>
          <w:rFonts w:ascii="Calibri" w:eastAsiaTheme="minorEastAsia" w:hAnsi="Calibri" w:cs="Calibri"/>
          <w:b/>
          <w:bCs/>
          <w:color w:val="000000" w:themeColor="text1"/>
          <w:sz w:val="48"/>
          <w:szCs w:val="48"/>
          <w:lang w:eastAsia="fr-FR"/>
        </w:rPr>
        <w:t>Lot n° 1 : Fourniture de mobiliers de bureau et équipements divers associés</w:t>
      </w:r>
    </w:p>
    <w:p w14:paraId="30D85D65" w14:textId="77777777" w:rsidR="006216D4" w:rsidRDefault="006216D4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</w:p>
    <w:p w14:paraId="31704797" w14:textId="36D0D167" w:rsid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 w:rsidRPr="000B7971"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t xml:space="preserve">Réf. marché : 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CCIR-DRA-202</w:t>
      </w:r>
      <w:r w:rsidR="00A81EAA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5</w:t>
      </w:r>
      <w:r w:rsidR="00866519" w:rsidRPr="00866519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-</w:t>
      </w:r>
      <w:r w:rsidR="006216D4">
        <w:rPr>
          <w:rFonts w:ascii="Calibri" w:eastAsiaTheme="minorEastAsia" w:hAnsi="Calibri" w:cs="Calibri"/>
          <w:i/>
          <w:iCs/>
          <w:sz w:val="28"/>
          <w:szCs w:val="28"/>
          <w:lang w:eastAsia="fr-FR"/>
        </w:rPr>
        <w:t>68</w:t>
      </w:r>
    </w:p>
    <w:p w14:paraId="354EEB20" w14:textId="176CBBA8" w:rsidR="000B7971" w:rsidRDefault="000B7971">
      <w:pP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</w:pPr>
      <w:r>
        <w:rPr>
          <w:rFonts w:ascii="Calibri" w:eastAsia="Meiryo" w:hAnsi="Calibri" w:cs="Calibri"/>
          <w:i/>
          <w:iCs/>
          <w:color w:val="262626"/>
          <w:kern w:val="0"/>
          <w:sz w:val="28"/>
          <w:szCs w:val="28"/>
          <w:lang w:eastAsia="fr-FR"/>
          <w14:ligatures w14:val="none"/>
        </w:rPr>
        <w:br w:type="page"/>
      </w:r>
    </w:p>
    <w:p w14:paraId="7357E301" w14:textId="0797D493" w:rsidR="00851D74" w:rsidRPr="00E77962" w:rsidRDefault="00851D74" w:rsidP="00851D74">
      <w:pPr>
        <w:jc w:val="center"/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lastRenderedPageBreak/>
        <w:t>Le présent cadre de réponse du mémoire technique complété par le soumissionnaire permettra au pouvoir adjudicateur d’analyser le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critère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« Valeur technique de l’offre »</w:t>
      </w:r>
      <w:r w:rsidR="00D430E7">
        <w:rPr>
          <w:rFonts w:cstheme="minorHAnsi"/>
          <w:b/>
          <w:sz w:val="20"/>
          <w:szCs w:val="20"/>
        </w:rPr>
        <w:t xml:space="preserve"> et «</w:t>
      </w:r>
      <w:r w:rsidR="0096636F">
        <w:rPr>
          <w:rFonts w:cstheme="minorHAnsi"/>
          <w:b/>
          <w:sz w:val="20"/>
          <w:szCs w:val="20"/>
        </w:rPr>
        <w:t xml:space="preserve"> </w:t>
      </w:r>
      <w:r w:rsidR="0096636F">
        <w:rPr>
          <w:b/>
          <w:bCs/>
          <w:color w:val="000000" w:themeColor="text1" w:themeShade="80"/>
          <w:sz w:val="20"/>
          <w:szCs w:val="20"/>
        </w:rPr>
        <w:t>D</w:t>
      </w:r>
      <w:r w:rsidR="00D430E7" w:rsidRPr="0095239E">
        <w:rPr>
          <w:b/>
          <w:bCs/>
          <w:color w:val="000000" w:themeColor="text1" w:themeShade="80"/>
          <w:sz w:val="20"/>
          <w:szCs w:val="20"/>
        </w:rPr>
        <w:t>éveloppement durable</w:t>
      </w:r>
      <w:r w:rsidR="00D430E7">
        <w:rPr>
          <w:b/>
          <w:bCs/>
          <w:color w:val="000000" w:themeColor="text1" w:themeShade="80"/>
          <w:sz w:val="20"/>
          <w:szCs w:val="20"/>
        </w:rPr>
        <w:t> »</w:t>
      </w:r>
      <w:r w:rsidRPr="00E77962">
        <w:rPr>
          <w:rFonts w:cstheme="minorHAnsi"/>
          <w:b/>
          <w:sz w:val="20"/>
          <w:szCs w:val="20"/>
        </w:rPr>
        <w:t>, tel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que défini</w:t>
      </w:r>
      <w:r w:rsidR="00D430E7">
        <w:rPr>
          <w:rFonts w:cstheme="minorHAnsi"/>
          <w:b/>
          <w:sz w:val="20"/>
          <w:szCs w:val="20"/>
        </w:rPr>
        <w:t>s</w:t>
      </w:r>
      <w:r w:rsidRPr="00E77962">
        <w:rPr>
          <w:rFonts w:cstheme="minorHAnsi"/>
          <w:b/>
          <w:sz w:val="20"/>
          <w:szCs w:val="20"/>
        </w:rPr>
        <w:t xml:space="preserve"> à l’article 7.2.1 du règlement de la consultation </w:t>
      </w:r>
      <w:r w:rsidR="003E15E9">
        <w:rPr>
          <w:rFonts w:cstheme="minorHAnsi"/>
          <w:b/>
          <w:sz w:val="20"/>
          <w:szCs w:val="20"/>
        </w:rPr>
        <w:t xml:space="preserve">– étant précisé qu’il est requis que les soumissionnaires remettent un mémoire technique respectant les différentes parties du présent cadre </w:t>
      </w:r>
      <w:r w:rsidRPr="00E77962">
        <w:rPr>
          <w:rFonts w:cstheme="minorHAnsi"/>
          <w:b/>
          <w:sz w:val="20"/>
          <w:szCs w:val="20"/>
        </w:rPr>
        <w:t>:</w:t>
      </w:r>
    </w:p>
    <w:p w14:paraId="7C0565FD" w14:textId="17C835AC" w:rsidR="000B7971" w:rsidRPr="000B7971" w:rsidRDefault="000B7971" w:rsidP="000B7971">
      <w:pPr>
        <w:autoSpaceDE w:val="0"/>
        <w:autoSpaceDN w:val="0"/>
        <w:adjustRightInd w:val="0"/>
        <w:spacing w:before="170" w:after="0" w:line="288" w:lineRule="auto"/>
        <w:textAlignment w:val="center"/>
        <w:rPr>
          <w:rFonts w:eastAsia="Meiryo" w:cstheme="minorHAnsi"/>
          <w:i/>
          <w:iCs/>
          <w:color w:val="262626"/>
          <w:kern w:val="0"/>
          <w:sz w:val="20"/>
          <w:szCs w:val="20"/>
          <w:lang w:eastAsia="fr-FR"/>
          <w14:ligatures w14:val="none"/>
        </w:rPr>
      </w:pPr>
    </w:p>
    <w:bookmarkEnd w:id="0"/>
    <w:p w14:paraId="58574B60" w14:textId="5F1D5564" w:rsidR="006216D4" w:rsidRP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 la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méthodologie proposée relative au service après-vente, y compris le délai sur lequel le soumissionnaire s’engage pour effectuer une mise au point ou une réparation (cf. article 9.6 du CCAP relatif à la garantie)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 : </w:t>
      </w:r>
    </w:p>
    <w:p w14:paraId="225266B2" w14:textId="77777777" w:rsid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E376FC" w14:textId="77777777" w:rsidR="006216D4" w:rsidRPr="006216D4" w:rsidRDefault="006216D4" w:rsidP="006216D4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803EEAD" w14:textId="6E39E70C" w:rsidR="006216D4" w:rsidRDefault="006216D4" w:rsidP="006216D4">
      <w:pPr>
        <w:pStyle w:val="Paragraphedeliste"/>
        <w:numPr>
          <w:ilvl w:val="0"/>
          <w:numId w:val="1"/>
        </w:num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Précision du ou des 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délais maximums (exprimés en semaine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(s)</w:t>
      </w:r>
      <w:r w:rsidRPr="006216D4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) pour effectuer une mise au point ou une réparation (cf. article 9.6 du CCAP)</w:t>
      </w:r>
      <w:r w:rsid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> :</w:t>
      </w:r>
    </w:p>
    <w:p w14:paraId="326772BE" w14:textId="77777777" w:rsid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2AD99E04" w14:textId="77777777" w:rsidR="006216D4" w:rsidRPr="006216D4" w:rsidRDefault="006216D4" w:rsidP="006216D4">
      <w:pPr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72318095" w14:textId="63E72958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>technique et fonctionnelle des mobiliers et des équipements divers « standards »</w:t>
      </w:r>
      <w:r w:rsidRPr="004C29D9">
        <w:rPr>
          <w:rFonts w:eastAsia="Calibri" w:cstheme="minorHAnsi"/>
          <w:sz w:val="20"/>
          <w:szCs w:val="20"/>
          <w:u w:val="single"/>
        </w:rPr>
        <w:t xml:space="preserve"> (idéalement, fournir les fiches techniques) :</w:t>
      </w:r>
    </w:p>
    <w:p w14:paraId="694BD80E" w14:textId="77777777" w:rsid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4F1C2FA6" w14:textId="77777777" w:rsidR="004C29D9" w:rsidRPr="004C29D9" w:rsidRDefault="004C29D9" w:rsidP="004C29D9">
      <w:p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5C751BE8" w14:textId="77777777" w:rsidR="004C29D9" w:rsidRPr="004C29D9" w:rsidRDefault="004C29D9" w:rsidP="00E77962">
      <w:pPr>
        <w:pStyle w:val="Paragraphedeliste"/>
        <w:numPr>
          <w:ilvl w:val="0"/>
          <w:numId w:val="1"/>
        </w:numPr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  <w:r w:rsidRPr="004C29D9"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  <w:t xml:space="preserve">Description </w:t>
      </w:r>
      <w:r w:rsidRPr="004C29D9">
        <w:rPr>
          <w:rFonts w:eastAsia="Calibri" w:cstheme="minorHAnsi"/>
          <w:sz w:val="20"/>
          <w:szCs w:val="20"/>
          <w:u w:val="single"/>
        </w:rPr>
        <w:t>des modalités mises en œuvre par le soumissionnaire pour assurer la récupération et la valorisation des déchets (emballages, protections, plastiques, cartons…) et qualité des mesures proposées pour limiter les déchets</w:t>
      </w:r>
      <w:r w:rsidRPr="004C29D9">
        <w:rPr>
          <w:rFonts w:eastAsia="Calibri" w:cstheme="minorHAnsi"/>
          <w:sz w:val="20"/>
          <w:szCs w:val="20"/>
          <w:u w:val="single"/>
        </w:rPr>
        <w:t> :</w:t>
      </w:r>
    </w:p>
    <w:p w14:paraId="3ED2AE83" w14:textId="77777777" w:rsidR="004C29D9" w:rsidRDefault="004C29D9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19CCC2D6" w14:textId="77777777" w:rsidR="0096636F" w:rsidRDefault="0096636F" w:rsidP="004C29D9">
      <w:pPr>
        <w:pStyle w:val="Paragraphedeliste"/>
        <w:jc w:val="both"/>
        <w:rPr>
          <w:rFonts w:eastAsia="Meiryo" w:cstheme="minorHAnsi"/>
          <w:color w:val="262626"/>
          <w:kern w:val="0"/>
          <w:sz w:val="20"/>
          <w:szCs w:val="20"/>
          <w:u w:val="single"/>
          <w:lang w:eastAsia="fr-FR"/>
          <w14:ligatures w14:val="none"/>
        </w:rPr>
      </w:pPr>
    </w:p>
    <w:p w14:paraId="3E22F8B0" w14:textId="77777777" w:rsidR="00851D74" w:rsidRPr="00E77962" w:rsidRDefault="00851D74" w:rsidP="00851D74">
      <w:pPr>
        <w:rPr>
          <w:rFonts w:cstheme="minorHAnsi"/>
          <w:b/>
          <w:sz w:val="20"/>
          <w:szCs w:val="20"/>
        </w:rPr>
      </w:pPr>
      <w:r w:rsidRPr="00E77962">
        <w:rPr>
          <w:rFonts w:cstheme="minorHAnsi"/>
          <w:b/>
          <w:sz w:val="20"/>
          <w:szCs w:val="20"/>
        </w:rPr>
        <w:t xml:space="preserve">Etant précisé que les soumissionnaires pourront fournir toutes annexes supplémentaires jugées nécessaires. </w:t>
      </w:r>
    </w:p>
    <w:p w14:paraId="077F17A3" w14:textId="77777777" w:rsidR="00851D74" w:rsidRDefault="00851D74"/>
    <w:sectPr w:rsidR="00851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75F"/>
    <w:multiLevelType w:val="hybridMultilevel"/>
    <w:tmpl w:val="64AE07E8"/>
    <w:lvl w:ilvl="0" w:tplc="C14C3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18D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C2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E44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D6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04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BCF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85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974F5B"/>
    <w:multiLevelType w:val="hybridMultilevel"/>
    <w:tmpl w:val="5EF2D9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A491D"/>
    <w:multiLevelType w:val="hybridMultilevel"/>
    <w:tmpl w:val="52E6CD58"/>
    <w:lvl w:ilvl="0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620E0D16"/>
    <w:multiLevelType w:val="multilevel"/>
    <w:tmpl w:val="8BA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F9685B"/>
    <w:multiLevelType w:val="hybridMultilevel"/>
    <w:tmpl w:val="A4F494BE"/>
    <w:lvl w:ilvl="0" w:tplc="2BCCBA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714D3"/>
    <w:multiLevelType w:val="multilevel"/>
    <w:tmpl w:val="095E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5170765">
    <w:abstractNumId w:val="1"/>
  </w:num>
  <w:num w:numId="2" w16cid:durableId="393697118">
    <w:abstractNumId w:val="3"/>
  </w:num>
  <w:num w:numId="3" w16cid:durableId="2073691046">
    <w:abstractNumId w:val="4"/>
  </w:num>
  <w:num w:numId="4" w16cid:durableId="568152711">
    <w:abstractNumId w:val="5"/>
  </w:num>
  <w:num w:numId="5" w16cid:durableId="2091734063">
    <w:abstractNumId w:val="0"/>
  </w:num>
  <w:num w:numId="6" w16cid:durableId="1535727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971"/>
    <w:rsid w:val="000817B2"/>
    <w:rsid w:val="000B7971"/>
    <w:rsid w:val="000E6D00"/>
    <w:rsid w:val="00170099"/>
    <w:rsid w:val="00283863"/>
    <w:rsid w:val="003E15E9"/>
    <w:rsid w:val="003F3798"/>
    <w:rsid w:val="00474E10"/>
    <w:rsid w:val="004C29D9"/>
    <w:rsid w:val="005E4ED6"/>
    <w:rsid w:val="006216D4"/>
    <w:rsid w:val="006769E7"/>
    <w:rsid w:val="006D7844"/>
    <w:rsid w:val="00702DB8"/>
    <w:rsid w:val="00851D74"/>
    <w:rsid w:val="00866519"/>
    <w:rsid w:val="0096636F"/>
    <w:rsid w:val="00A13D32"/>
    <w:rsid w:val="00A236F2"/>
    <w:rsid w:val="00A81EAA"/>
    <w:rsid w:val="00B24E37"/>
    <w:rsid w:val="00D430E7"/>
    <w:rsid w:val="00D65A5F"/>
    <w:rsid w:val="00E77962"/>
    <w:rsid w:val="00FD784D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717"/>
  <w15:chartTrackingRefBased/>
  <w15:docId w15:val="{1DE4BE4D-B201-44F3-843E-C66E9B34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B79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B7971"/>
    <w:pPr>
      <w:spacing w:after="200" w:line="240" w:lineRule="auto"/>
    </w:pPr>
    <w:rPr>
      <w:color w:val="262626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0B7971"/>
    <w:rPr>
      <w:color w:val="262626"/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851D74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13D32"/>
    <w:pPr>
      <w:tabs>
        <w:tab w:val="center" w:pos="4536"/>
        <w:tab w:val="right" w:pos="9072"/>
      </w:tabs>
      <w:spacing w:after="0" w:line="240" w:lineRule="auto"/>
    </w:pPr>
    <w:rPr>
      <w:color w:val="000000" w:themeColor="text1" w:themeShade="80"/>
      <w:kern w:val="0"/>
      <w:sz w:val="2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A13D32"/>
    <w:rPr>
      <w:color w:val="000000" w:themeColor="text1" w:themeShade="80"/>
      <w:kern w:val="0"/>
      <w:sz w:val="20"/>
      <w14:ligatures w14:val="none"/>
    </w:rPr>
  </w:style>
  <w:style w:type="paragraph" w:customStyle="1" w:styleId="Sous-titrecyan">
    <w:name w:val="Sous-titre cyan"/>
    <w:basedOn w:val="Normal"/>
    <w:link w:val="Sous-titrecyanCar"/>
    <w:qFormat/>
    <w:rsid w:val="00A13D32"/>
    <w:pPr>
      <w:spacing w:after="0" w:line="240" w:lineRule="auto"/>
    </w:pPr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character" w:customStyle="1" w:styleId="Sous-titrecyanCar">
    <w:name w:val="Sous-titre cyan Car"/>
    <w:basedOn w:val="Policepardfaut"/>
    <w:link w:val="Sous-titrecyan"/>
    <w:rsid w:val="00A13D32"/>
    <w:rPr>
      <w:rFonts w:ascii="Calibri" w:eastAsia="Calibri" w:hAnsi="Calibri" w:cs="Arial"/>
      <w:color w:val="00B0F0"/>
      <w:kern w:val="0"/>
      <w:sz w:val="24"/>
      <w:szCs w:val="24"/>
      <w14:ligatures w14:val="none"/>
    </w:rPr>
  </w:style>
  <w:style w:type="table" w:customStyle="1" w:styleId="Grilledutableau2">
    <w:name w:val="Grille du tableau2"/>
    <w:basedOn w:val="TableauNormal"/>
    <w:next w:val="Grilledutableau"/>
    <w:rsid w:val="00D430E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D4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6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GUIGO</dc:creator>
  <cp:keywords/>
  <dc:description/>
  <cp:lastModifiedBy>Chloe GUIGO</cp:lastModifiedBy>
  <cp:revision>17</cp:revision>
  <dcterms:created xsi:type="dcterms:W3CDTF">2024-04-25T14:15:00Z</dcterms:created>
  <dcterms:modified xsi:type="dcterms:W3CDTF">2025-12-01T14:17:00Z</dcterms:modified>
</cp:coreProperties>
</file>